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908" w:rsidRDefault="00EA1532" w:rsidP="00CA38CD">
      <w:pPr>
        <w:rPr>
          <w:rFonts w:ascii="Century Gothic" w:hAnsi="Century Gothic"/>
          <w:b/>
          <w:sz w:val="36"/>
          <w:u w:val="single"/>
        </w:rPr>
      </w:pPr>
      <w:r>
        <w:rPr>
          <w:rFonts w:ascii="Century Gothic" w:hAnsi="Century Gothic"/>
          <w:b/>
          <w:noProof/>
          <w:sz w:val="36"/>
          <w:u w:val="single"/>
          <w:lang w:eastAsia="en-GB"/>
        </w:rPr>
        <mc:AlternateContent>
          <mc:Choice Requires="wps">
            <w:drawing>
              <wp:anchor distT="0" distB="0" distL="114300" distR="114300" simplePos="0" relativeHeight="251660288" behindDoc="0" locked="0" layoutInCell="1" allowOverlap="1">
                <wp:simplePos x="0" y="0"/>
                <wp:positionH relativeFrom="column">
                  <wp:posOffset>1134745</wp:posOffset>
                </wp:positionH>
                <wp:positionV relativeFrom="paragraph">
                  <wp:posOffset>312551</wp:posOffset>
                </wp:positionV>
                <wp:extent cx="2475186" cy="1040524"/>
                <wp:effectExtent l="0" t="0" r="1905" b="7620"/>
                <wp:wrapNone/>
                <wp:docPr id="5" name="Text Box 5"/>
                <wp:cNvGraphicFramePr/>
                <a:graphic xmlns:a="http://schemas.openxmlformats.org/drawingml/2006/main">
                  <a:graphicData uri="http://schemas.microsoft.com/office/word/2010/wordprocessingShape">
                    <wps:wsp>
                      <wps:cNvSpPr txBox="1"/>
                      <wps:spPr>
                        <a:xfrm>
                          <a:off x="0" y="0"/>
                          <a:ext cx="2475186" cy="1040524"/>
                        </a:xfrm>
                        <a:prstGeom prst="rect">
                          <a:avLst/>
                        </a:prstGeom>
                        <a:solidFill>
                          <a:schemeClr val="lt1"/>
                        </a:solidFill>
                        <a:ln w="6350">
                          <a:noFill/>
                        </a:ln>
                      </wps:spPr>
                      <wps:txbx>
                        <w:txbxContent>
                          <w:p w:rsidR="00D817BF" w:rsidRPr="00EF59F2" w:rsidRDefault="00D817BF" w:rsidP="00EF59F2">
                            <w:pPr>
                              <w:rPr>
                                <w:rFonts w:ascii="Century Gothic" w:hAnsi="Century Gothic"/>
                                <w:b/>
                                <w:sz w:val="28"/>
                              </w:rPr>
                            </w:pPr>
                            <w:r w:rsidRPr="00EF59F2">
                              <w:rPr>
                                <w:rFonts w:ascii="Century Gothic" w:hAnsi="Century Gothic"/>
                                <w:b/>
                                <w:sz w:val="28"/>
                              </w:rPr>
                              <w:t>Subject:</w:t>
                            </w:r>
                            <w:r>
                              <w:rPr>
                                <w:rFonts w:ascii="Century Gothic" w:hAnsi="Century Gothic"/>
                                <w:b/>
                                <w:sz w:val="28"/>
                              </w:rPr>
                              <w:t xml:space="preserve"> </w:t>
                            </w:r>
                            <w:r w:rsidR="00C30756">
                              <w:rPr>
                                <w:rFonts w:ascii="Century Gothic" w:hAnsi="Century Gothic"/>
                                <w:b/>
                                <w:sz w:val="28"/>
                              </w:rPr>
                              <w:t>Maths</w:t>
                            </w:r>
                          </w:p>
                          <w:p w:rsidR="00D817BF" w:rsidRDefault="00D817BF" w:rsidP="00EF59F2">
                            <w:pPr>
                              <w:rPr>
                                <w:rFonts w:ascii="Century Gothic" w:hAnsi="Century Gothic"/>
                                <w:b/>
                                <w:sz w:val="28"/>
                              </w:rPr>
                            </w:pPr>
                            <w:r w:rsidRPr="00EF59F2">
                              <w:rPr>
                                <w:rFonts w:ascii="Century Gothic" w:hAnsi="Century Gothic"/>
                                <w:b/>
                                <w:sz w:val="28"/>
                              </w:rPr>
                              <w:t>Year:</w:t>
                            </w:r>
                            <w:r>
                              <w:rPr>
                                <w:rFonts w:ascii="Century Gothic" w:hAnsi="Century Gothic"/>
                                <w:b/>
                                <w:sz w:val="28"/>
                              </w:rPr>
                              <w:t xml:space="preserve"> </w:t>
                            </w:r>
                            <w:r w:rsidR="00C30756">
                              <w:rPr>
                                <w:rFonts w:ascii="Century Gothic" w:hAnsi="Century Gothic"/>
                                <w:b/>
                                <w:sz w:val="28"/>
                              </w:rPr>
                              <w:t>10</w:t>
                            </w:r>
                          </w:p>
                          <w:p w:rsidR="00D817BF" w:rsidRPr="00EF59F2" w:rsidRDefault="00D817BF" w:rsidP="00EF59F2">
                            <w:pPr>
                              <w:rPr>
                                <w:rFonts w:ascii="Century Gothic" w:hAnsi="Century Gothic"/>
                                <w:b/>
                                <w:sz w:val="28"/>
                              </w:rPr>
                            </w:pPr>
                            <w:r>
                              <w:rPr>
                                <w:rFonts w:ascii="Century Gothic" w:hAnsi="Century Gothic"/>
                                <w:b/>
                                <w:sz w:val="28"/>
                              </w:rPr>
                              <w:t>Term:</w:t>
                            </w:r>
                            <w:r w:rsidR="00C30756">
                              <w:rPr>
                                <w:rFonts w:ascii="Century Gothic" w:hAnsi="Century Gothic"/>
                                <w:b/>
                                <w:sz w:val="28"/>
                              </w:rPr>
                              <w:t xml:space="preserve"> Autumn 1</w:t>
                            </w:r>
                          </w:p>
                          <w:p w:rsidR="00D817BF" w:rsidRPr="00EF59F2" w:rsidRDefault="00D817B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9.35pt;margin-top:24.6pt;width:194.9pt;height:8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" fillcolor="white [3201]" stroked="f" strokeweight=".5pt">
                <v:textbox>
                  <w:txbxContent>
                    <w:p w:rsidR="00D817BF" w:rsidRPr="00EF59F2" w:rsidRDefault="00D817BF" w:rsidP="00EF59F2">
                      <w:pPr>
                        <w:rPr>
                          <w:rFonts w:ascii="Century Gothic" w:hAnsi="Century Gothic"/>
                          <w:b/>
                          <w:sz w:val="28"/>
                        </w:rPr>
                      </w:pPr>
                      <w:r w:rsidRPr="00EF59F2">
                        <w:rPr>
                          <w:rFonts w:ascii="Century Gothic" w:hAnsi="Century Gothic"/>
                          <w:b/>
                          <w:sz w:val="28"/>
                        </w:rPr>
                        <w:t>Subject:</w:t>
                      </w:r>
                      <w:r>
                        <w:rPr>
                          <w:rFonts w:ascii="Century Gothic" w:hAnsi="Century Gothic"/>
                          <w:b/>
                          <w:sz w:val="28"/>
                        </w:rPr>
                        <w:t xml:space="preserve"> </w:t>
                      </w:r>
                      <w:r w:rsidR="00C30756">
                        <w:rPr>
                          <w:rFonts w:ascii="Century Gothic" w:hAnsi="Century Gothic"/>
                          <w:b/>
                          <w:sz w:val="28"/>
                        </w:rPr>
                        <w:t>Maths</w:t>
                      </w:r>
                    </w:p>
                    <w:p w:rsidR="00D817BF" w:rsidRDefault="00D817BF" w:rsidP="00EF59F2">
                      <w:pPr>
                        <w:rPr>
                          <w:rFonts w:ascii="Century Gothic" w:hAnsi="Century Gothic"/>
                          <w:b/>
                          <w:sz w:val="28"/>
                        </w:rPr>
                      </w:pPr>
                      <w:r w:rsidRPr="00EF59F2">
                        <w:rPr>
                          <w:rFonts w:ascii="Century Gothic" w:hAnsi="Century Gothic"/>
                          <w:b/>
                          <w:sz w:val="28"/>
                        </w:rPr>
                        <w:t>Year:</w:t>
                      </w:r>
                      <w:r>
                        <w:rPr>
                          <w:rFonts w:ascii="Century Gothic" w:hAnsi="Century Gothic"/>
                          <w:b/>
                          <w:sz w:val="28"/>
                        </w:rPr>
                        <w:t xml:space="preserve"> </w:t>
                      </w:r>
                      <w:r w:rsidR="00C30756">
                        <w:rPr>
                          <w:rFonts w:ascii="Century Gothic" w:hAnsi="Century Gothic"/>
                          <w:b/>
                          <w:sz w:val="28"/>
                        </w:rPr>
                        <w:t>10</w:t>
                      </w:r>
                    </w:p>
                    <w:p w:rsidR="00D817BF" w:rsidRPr="00EF59F2" w:rsidRDefault="00D817BF" w:rsidP="00EF59F2">
                      <w:pPr>
                        <w:rPr>
                          <w:rFonts w:ascii="Century Gothic" w:hAnsi="Century Gothic"/>
                          <w:b/>
                          <w:sz w:val="28"/>
                        </w:rPr>
                      </w:pPr>
                      <w:r>
                        <w:rPr>
                          <w:rFonts w:ascii="Century Gothic" w:hAnsi="Century Gothic"/>
                          <w:b/>
                          <w:sz w:val="28"/>
                        </w:rPr>
                        <w:t>Term:</w:t>
                      </w:r>
                      <w:r w:rsidR="00C30756">
                        <w:rPr>
                          <w:rFonts w:ascii="Century Gothic" w:hAnsi="Century Gothic"/>
                          <w:b/>
                          <w:sz w:val="28"/>
                        </w:rPr>
                        <w:t xml:space="preserve"> Autumn 1</w:t>
                      </w:r>
                    </w:p>
                    <w:p w:rsidR="00D817BF" w:rsidRPr="00EF59F2" w:rsidRDefault="00D817BF">
                      <w:pPr>
                        <w:rPr>
                          <w:sz w:val="18"/>
                        </w:rPr>
                      </w:pPr>
                    </w:p>
                  </w:txbxContent>
                </v:textbox>
              </v:shape>
            </w:pict>
          </mc:Fallback>
        </mc:AlternateContent>
      </w:r>
      <w:r w:rsidR="00406EE4">
        <w:rPr>
          <w:rFonts w:ascii="Century Gothic" w:hAnsi="Century Gothic"/>
          <w:b/>
          <w:noProof/>
          <w:sz w:val="36"/>
          <w:u w:val="single"/>
          <w:lang w:eastAsia="en-GB"/>
        </w:rPr>
        <mc:AlternateContent>
          <mc:Choice Requires="wps">
            <w:drawing>
              <wp:anchor distT="0" distB="0" distL="114300" distR="114300" simplePos="0" relativeHeight="251659264" behindDoc="0" locked="0" layoutInCell="1" allowOverlap="1">
                <wp:simplePos x="0" y="0"/>
                <wp:positionH relativeFrom="column">
                  <wp:posOffset>1137285</wp:posOffset>
                </wp:positionH>
                <wp:positionV relativeFrom="paragraph">
                  <wp:posOffset>-159282</wp:posOffset>
                </wp:positionV>
                <wp:extent cx="7315200" cy="747423"/>
                <wp:effectExtent l="0" t="0" r="0" b="0"/>
                <wp:wrapNone/>
                <wp:docPr id="3" name="Text Box 3"/>
                <wp:cNvGraphicFramePr/>
                <a:graphic xmlns:a="http://schemas.openxmlformats.org/drawingml/2006/main">
                  <a:graphicData uri="http://schemas.microsoft.com/office/word/2010/wordprocessingShape">
                    <wps:wsp>
                      <wps:cNvSpPr txBox="1"/>
                      <wps:spPr>
                        <a:xfrm>
                          <a:off x="0" y="0"/>
                          <a:ext cx="7315200" cy="747423"/>
                        </a:xfrm>
                        <a:prstGeom prst="rect">
                          <a:avLst/>
                        </a:prstGeom>
                        <a:solidFill>
                          <a:schemeClr val="lt1"/>
                        </a:solidFill>
                        <a:ln w="6350">
                          <a:noFill/>
                        </a:ln>
                      </wps:spPr>
                      <wps:txbx>
                        <w:txbxContent>
                          <w:p w:rsidR="00D817BF" w:rsidRPr="003B025E" w:rsidRDefault="00D817BF" w:rsidP="003B025E">
                            <w:pPr>
                              <w:jc w:val="center"/>
                              <w:rPr>
                                <w:rFonts w:ascii="Century Gothic" w:hAnsi="Century Gothic"/>
                                <w:b/>
                                <w:sz w:val="36"/>
                                <w:u w:val="single"/>
                              </w:rPr>
                            </w:pPr>
                            <w:r w:rsidRPr="00CA38CD">
                              <w:rPr>
                                <w:rFonts w:ascii="Century Gothic" w:hAnsi="Century Gothic"/>
                                <w:b/>
                                <w:sz w:val="36"/>
                                <w:u w:val="single"/>
                              </w:rPr>
                              <w:t xml:space="preserve">Greenwood School </w:t>
                            </w:r>
                            <w:r>
                              <w:rPr>
                                <w:rFonts w:ascii="Century Gothic" w:hAnsi="Century Gothic"/>
                                <w:b/>
                                <w:sz w:val="36"/>
                                <w:u w:val="single"/>
                              </w:rPr>
                              <w:t>Curriculum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9.55pt;margin-top:-12.55pt;width:8in;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" fillcolor="white [3201]" stroked="f" strokeweight=".5pt">
                <v:textbox>
                  <w:txbxContent>
                    <w:p w:rsidR="00D817BF" w:rsidRPr="003B025E" w:rsidRDefault="00D817BF" w:rsidP="003B025E">
                      <w:pPr>
                        <w:jc w:val="center"/>
                        <w:rPr>
                          <w:rFonts w:ascii="Century Gothic" w:hAnsi="Century Gothic"/>
                          <w:b/>
                          <w:sz w:val="36"/>
                          <w:u w:val="single"/>
                        </w:rPr>
                      </w:pPr>
                      <w:r w:rsidRPr="00CA38CD">
                        <w:rPr>
                          <w:rFonts w:ascii="Century Gothic" w:hAnsi="Century Gothic"/>
                          <w:b/>
                          <w:sz w:val="36"/>
                          <w:u w:val="single"/>
                        </w:rPr>
                        <w:t xml:space="preserve">Greenwood School </w:t>
                      </w:r>
                      <w:r>
                        <w:rPr>
                          <w:rFonts w:ascii="Century Gothic" w:hAnsi="Century Gothic"/>
                          <w:b/>
                          <w:sz w:val="36"/>
                          <w:u w:val="single"/>
                        </w:rPr>
                        <w:t>Curriculum Summary</w:t>
                      </w:r>
                    </w:p>
                  </w:txbxContent>
                </v:textbox>
              </v:shape>
            </w:pict>
          </mc:Fallback>
        </mc:AlternateContent>
      </w:r>
      <w:r w:rsidR="00406EE4" w:rsidRPr="00CA38CD">
        <w:rPr>
          <w:rFonts w:ascii="Century Gothic" w:hAnsi="Century Gothic"/>
          <w:b/>
          <w:noProof/>
          <w:sz w:val="36"/>
          <w:u w:val="single"/>
          <w:lang w:eastAsia="en-GB"/>
        </w:rPr>
        <w:drawing>
          <wp:anchor distT="0" distB="0" distL="114300" distR="114300" simplePos="0" relativeHeight="251658240" behindDoc="1" locked="0" layoutInCell="1" allowOverlap="1">
            <wp:simplePos x="0" y="0"/>
            <wp:positionH relativeFrom="column">
              <wp:posOffset>8624</wp:posOffset>
            </wp:positionH>
            <wp:positionV relativeFrom="paragraph">
              <wp:posOffset>222</wp:posOffset>
            </wp:positionV>
            <wp:extent cx="933450" cy="857250"/>
            <wp:effectExtent l="0" t="0" r="0" b="0"/>
            <wp:wrapTight wrapText="bothSides">
              <wp:wrapPolygon edited="0">
                <wp:start x="0" y="0"/>
                <wp:lineTo x="0" y="21120"/>
                <wp:lineTo x="21159" y="21120"/>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woo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857250"/>
                    </a:xfrm>
                    <a:prstGeom prst="rect">
                      <a:avLst/>
                    </a:prstGeom>
                  </pic:spPr>
                </pic:pic>
              </a:graphicData>
            </a:graphic>
            <wp14:sizeRelH relativeFrom="page">
              <wp14:pctWidth>0</wp14:pctWidth>
            </wp14:sizeRelH>
            <wp14:sizeRelV relativeFrom="page">
              <wp14:pctHeight>0</wp14:pctHeight>
            </wp14:sizeRelV>
          </wp:anchor>
        </w:drawing>
      </w:r>
    </w:p>
    <w:p w:rsidR="00EF59F2" w:rsidRDefault="00EF59F2" w:rsidP="00CA38CD">
      <w:pPr>
        <w:rPr>
          <w:rFonts w:ascii="Century Gothic" w:hAnsi="Century Gothic"/>
          <w:b/>
          <w:sz w:val="36"/>
          <w:u w:val="single"/>
        </w:rPr>
      </w:pPr>
    </w:p>
    <w:tbl>
      <w:tblPr>
        <w:tblStyle w:val="TableGrid"/>
        <w:tblpPr w:leftFromText="180" w:rightFromText="180" w:vertAnchor="text" w:tblpX="-289" w:tblpY="1058"/>
        <w:tblW w:w="15877" w:type="dxa"/>
        <w:tblLook w:val="04A0" w:firstRow="1" w:lastRow="0" w:firstColumn="1" w:lastColumn="0" w:noHBand="0" w:noVBand="1"/>
      </w:tblPr>
      <w:tblGrid>
        <w:gridCol w:w="1913"/>
        <w:gridCol w:w="8919"/>
        <w:gridCol w:w="2329"/>
        <w:gridCol w:w="2716"/>
      </w:tblGrid>
      <w:tr w:rsidR="00C8470A" w:rsidRPr="00CA38CD" w:rsidTr="0049675F">
        <w:tc>
          <w:tcPr>
            <w:tcW w:w="1554" w:type="dxa"/>
          </w:tcPr>
          <w:p w:rsidR="00406EE4" w:rsidRPr="00406EE4" w:rsidRDefault="00D817BF" w:rsidP="0049675F">
            <w:pPr>
              <w:jc w:val="center"/>
              <w:rPr>
                <w:rFonts w:ascii="Century Gothic" w:hAnsi="Century Gothic"/>
                <w:b/>
                <w:sz w:val="20"/>
                <w:szCs w:val="20"/>
                <w:u w:val="single"/>
              </w:rPr>
            </w:pPr>
            <w:r>
              <w:rPr>
                <w:rFonts w:ascii="Century Gothic" w:hAnsi="Century Gothic"/>
                <w:b/>
                <w:sz w:val="20"/>
                <w:szCs w:val="20"/>
                <w:u w:val="single"/>
              </w:rPr>
              <w:t xml:space="preserve">Episode </w:t>
            </w:r>
            <w:r w:rsidR="00406EE4" w:rsidRPr="00406EE4">
              <w:rPr>
                <w:rFonts w:ascii="Century Gothic" w:hAnsi="Century Gothic"/>
                <w:b/>
                <w:sz w:val="20"/>
                <w:szCs w:val="20"/>
                <w:u w:val="single"/>
              </w:rPr>
              <w:t>name</w:t>
            </w:r>
          </w:p>
        </w:tc>
        <w:tc>
          <w:tcPr>
            <w:tcW w:w="9214" w:type="dxa"/>
          </w:tcPr>
          <w:p w:rsidR="00406EE4" w:rsidRPr="00406EE4" w:rsidRDefault="00D817BF" w:rsidP="0049675F">
            <w:pPr>
              <w:jc w:val="center"/>
              <w:rPr>
                <w:rFonts w:ascii="Century Gothic" w:hAnsi="Century Gothic"/>
                <w:b/>
                <w:sz w:val="20"/>
                <w:szCs w:val="20"/>
                <w:u w:val="single"/>
              </w:rPr>
            </w:pPr>
            <w:r>
              <w:rPr>
                <w:rFonts w:ascii="Century Gothic" w:hAnsi="Century Gothic"/>
                <w:b/>
                <w:sz w:val="20"/>
                <w:szCs w:val="20"/>
                <w:u w:val="single"/>
              </w:rPr>
              <w:t>Episode</w:t>
            </w:r>
            <w:r w:rsidR="00406EE4" w:rsidRPr="00406EE4">
              <w:rPr>
                <w:rFonts w:ascii="Century Gothic" w:hAnsi="Century Gothic"/>
                <w:b/>
                <w:sz w:val="20"/>
                <w:szCs w:val="20"/>
                <w:u w:val="single"/>
              </w:rPr>
              <w:t xml:space="preserve"> outline</w:t>
            </w:r>
          </w:p>
        </w:tc>
        <w:tc>
          <w:tcPr>
            <w:tcW w:w="2333" w:type="dxa"/>
          </w:tcPr>
          <w:p w:rsidR="00406EE4" w:rsidRPr="00CA38CD" w:rsidRDefault="003B025E" w:rsidP="0049675F">
            <w:pPr>
              <w:jc w:val="center"/>
              <w:rPr>
                <w:rFonts w:ascii="Century Gothic" w:hAnsi="Century Gothic"/>
                <w:b/>
                <w:sz w:val="18"/>
                <w:u w:val="single"/>
              </w:rPr>
            </w:pPr>
            <w:r w:rsidRPr="000C4E13">
              <w:rPr>
                <w:rFonts w:ascii="Century Gothic" w:hAnsi="Century Gothic"/>
                <w:b/>
                <w:sz w:val="20"/>
                <w:u w:val="single"/>
              </w:rPr>
              <w:t>Online link(s)</w:t>
            </w:r>
            <w:r w:rsidR="00406EE4" w:rsidRPr="000C4E13">
              <w:rPr>
                <w:rFonts w:ascii="Century Gothic" w:hAnsi="Century Gothic"/>
                <w:b/>
                <w:sz w:val="20"/>
                <w:u w:val="single"/>
              </w:rPr>
              <w:t xml:space="preserve"> </w:t>
            </w:r>
          </w:p>
        </w:tc>
        <w:tc>
          <w:tcPr>
            <w:tcW w:w="2776" w:type="dxa"/>
          </w:tcPr>
          <w:p w:rsidR="00406EE4" w:rsidRPr="00406EE4" w:rsidRDefault="000C4E13" w:rsidP="0049675F">
            <w:pPr>
              <w:jc w:val="center"/>
              <w:rPr>
                <w:rFonts w:ascii="Century Gothic" w:hAnsi="Century Gothic"/>
                <w:b/>
                <w:sz w:val="20"/>
                <w:szCs w:val="20"/>
                <w:u w:val="single"/>
              </w:rPr>
            </w:pPr>
            <w:r>
              <w:rPr>
                <w:rFonts w:ascii="Century Gothic" w:hAnsi="Century Gothic"/>
                <w:b/>
                <w:sz w:val="20"/>
                <w:szCs w:val="20"/>
                <w:u w:val="single"/>
              </w:rPr>
              <w:t>Other Resources</w:t>
            </w:r>
          </w:p>
        </w:tc>
      </w:tr>
      <w:tr w:rsidR="00C8470A" w:rsidRPr="00CA38CD" w:rsidTr="0049675F">
        <w:tc>
          <w:tcPr>
            <w:tcW w:w="1554" w:type="dxa"/>
          </w:tcPr>
          <w:p w:rsidR="00C30756" w:rsidRPr="00C30756" w:rsidRDefault="00C30756" w:rsidP="00C30756">
            <w:pPr>
              <w:rPr>
                <w:rFonts w:ascii="Century Gothic" w:hAnsi="Century Gothic"/>
                <w:sz w:val="20"/>
                <w:szCs w:val="20"/>
              </w:rPr>
            </w:pPr>
            <w:r w:rsidRPr="00C30756">
              <w:rPr>
                <w:rFonts w:ascii="Century Gothic" w:hAnsi="Century Gothic"/>
                <w:sz w:val="20"/>
                <w:szCs w:val="20"/>
              </w:rPr>
              <w:t>Four Rules</w:t>
            </w:r>
          </w:p>
          <w:p w:rsidR="00406EE4" w:rsidRPr="00406EE4" w:rsidRDefault="00406EE4" w:rsidP="00C30756">
            <w:pPr>
              <w:rPr>
                <w:rFonts w:ascii="Century Gothic" w:hAnsi="Century Gothic"/>
                <w:sz w:val="20"/>
                <w:szCs w:val="20"/>
              </w:rPr>
            </w:pPr>
          </w:p>
        </w:tc>
        <w:tc>
          <w:tcPr>
            <w:tcW w:w="9214" w:type="dxa"/>
          </w:tcPr>
          <w:p w:rsidR="00406EE4" w:rsidRPr="00406EE4" w:rsidRDefault="00C30756" w:rsidP="0049675F">
            <w:pPr>
              <w:rPr>
                <w:rFonts w:ascii="Century Gothic" w:hAnsi="Century Gothic"/>
                <w:sz w:val="20"/>
                <w:szCs w:val="20"/>
              </w:rPr>
            </w:pPr>
            <w:r>
              <w:rPr>
                <w:rFonts w:ascii="Arial" w:eastAsia="Times New Roman" w:hAnsi="Arial" w:cs="Arial"/>
                <w:color w:val="000000"/>
                <w:sz w:val="20"/>
                <w:szCs w:val="20"/>
                <w:lang w:eastAsia="en-GB"/>
              </w:rPr>
              <w:t>Order positive and negative numbers and use inequality signs and ≠.</w:t>
            </w:r>
            <w:r>
              <w:rPr>
                <w:rFonts w:ascii="Arial" w:eastAsia="Times New Roman" w:hAnsi="Arial" w:cs="Arial"/>
                <w:color w:val="000000"/>
                <w:sz w:val="20"/>
                <w:szCs w:val="20"/>
                <w:lang w:eastAsia="en-GB"/>
              </w:rPr>
              <w:br/>
              <w:t>Use non-calculator methods to calculate the sum, difference, product and quotient of positive and negative integers.</w:t>
            </w:r>
          </w:p>
        </w:tc>
        <w:tc>
          <w:tcPr>
            <w:tcW w:w="2333" w:type="dxa"/>
          </w:tcPr>
          <w:p w:rsidR="00406EE4" w:rsidRPr="00E834C9" w:rsidRDefault="00C30756" w:rsidP="0049675F">
            <w:pPr>
              <w:rPr>
                <w:rFonts w:ascii="Century Gothic" w:hAnsi="Century Gothic"/>
                <w:sz w:val="12"/>
                <w:szCs w:val="12"/>
              </w:rPr>
            </w:pPr>
            <w:hyperlink r:id="rId6" w:history="1">
              <w:r w:rsidRPr="00C30756">
                <w:rPr>
                  <w:color w:val="0000FF"/>
                  <w:u w:val="single"/>
                </w:rPr>
                <w:t>Core Maths lesson units for Key Stage 4 students - Oak National Academy (</w:t>
              </w:r>
              <w:proofErr w:type="spellStart"/>
              <w:proofErr w:type="gramStart"/>
              <w:r w:rsidRPr="00C30756">
                <w:rPr>
                  <w:color w:val="0000FF"/>
                  <w:u w:val="single"/>
                </w:rPr>
                <w:t>thenational.academy</w:t>
              </w:r>
              <w:proofErr w:type="spellEnd"/>
              <w:proofErr w:type="gramEnd"/>
              <w:r w:rsidRPr="00C30756">
                <w:rPr>
                  <w:color w:val="0000FF"/>
                  <w:u w:val="single"/>
                </w:rPr>
                <w:t>)</w:t>
              </w:r>
            </w:hyperlink>
          </w:p>
        </w:tc>
        <w:tc>
          <w:tcPr>
            <w:tcW w:w="2776" w:type="dxa"/>
          </w:tcPr>
          <w:p w:rsidR="00406EE4" w:rsidRPr="00406EE4" w:rsidRDefault="00406EE4" w:rsidP="0049675F">
            <w:pPr>
              <w:rPr>
                <w:rFonts w:ascii="Century Gothic" w:hAnsi="Century Gothic"/>
                <w:sz w:val="20"/>
                <w:szCs w:val="20"/>
              </w:rPr>
            </w:pPr>
          </w:p>
        </w:tc>
      </w:tr>
      <w:tr w:rsidR="00C8470A" w:rsidRPr="00CA38CD" w:rsidTr="0049675F">
        <w:tc>
          <w:tcPr>
            <w:tcW w:w="1554" w:type="dxa"/>
          </w:tcPr>
          <w:p w:rsidR="00C30756" w:rsidRPr="00C30756" w:rsidRDefault="00C30756" w:rsidP="00C30756">
            <w:pPr>
              <w:rPr>
                <w:rFonts w:ascii="Century Gothic" w:hAnsi="Century Gothic"/>
                <w:sz w:val="20"/>
                <w:szCs w:val="20"/>
              </w:rPr>
            </w:pPr>
            <w:r w:rsidRPr="00C30756">
              <w:rPr>
                <w:rFonts w:ascii="Century Gothic" w:hAnsi="Century Gothic"/>
                <w:sz w:val="20"/>
                <w:szCs w:val="20"/>
              </w:rPr>
              <w:t>Priority of Operations</w:t>
            </w:r>
          </w:p>
          <w:p w:rsidR="00C30756" w:rsidRPr="00C30756" w:rsidRDefault="00C30756" w:rsidP="00C30756">
            <w:pPr>
              <w:rPr>
                <w:rFonts w:ascii="Century Gothic" w:hAnsi="Century Gothic"/>
                <w:sz w:val="20"/>
                <w:szCs w:val="20"/>
              </w:rPr>
            </w:pPr>
            <w:r w:rsidRPr="00C30756">
              <w:rPr>
                <w:rFonts w:ascii="Century Gothic" w:hAnsi="Century Gothic"/>
                <w:sz w:val="20"/>
                <w:szCs w:val="20"/>
              </w:rPr>
              <w:t>BODMAS/BIDMAS</w:t>
            </w:r>
          </w:p>
          <w:p w:rsidR="00406EE4" w:rsidRPr="00406EE4" w:rsidRDefault="00406EE4" w:rsidP="0049675F">
            <w:pPr>
              <w:rPr>
                <w:rFonts w:ascii="Century Gothic" w:hAnsi="Century Gothic"/>
                <w:sz w:val="20"/>
                <w:szCs w:val="20"/>
              </w:rPr>
            </w:pPr>
          </w:p>
        </w:tc>
        <w:tc>
          <w:tcPr>
            <w:tcW w:w="9214" w:type="dxa"/>
          </w:tcPr>
          <w:p w:rsidR="00406EE4" w:rsidRPr="00406EE4" w:rsidRDefault="00C30756" w:rsidP="0049675F">
            <w:pPr>
              <w:rPr>
                <w:rFonts w:ascii="Century Gothic" w:hAnsi="Century Gothic"/>
                <w:sz w:val="20"/>
                <w:szCs w:val="20"/>
              </w:rPr>
            </w:pPr>
            <w:r>
              <w:rPr>
                <w:rFonts w:ascii="Arial" w:eastAsia="Times New Roman" w:hAnsi="Arial" w:cs="Arial"/>
                <w:color w:val="000000"/>
                <w:sz w:val="20"/>
                <w:szCs w:val="20"/>
                <w:lang w:eastAsia="en-GB"/>
              </w:rPr>
              <w:t>Know the conventional order for performing calculations involving brackets, four rules and powers, roots and reciprocals.</w:t>
            </w:r>
          </w:p>
        </w:tc>
        <w:tc>
          <w:tcPr>
            <w:tcW w:w="2333" w:type="dxa"/>
          </w:tcPr>
          <w:p w:rsidR="00406EE4" w:rsidRPr="00E834C9" w:rsidRDefault="00C30756" w:rsidP="0049675F">
            <w:pPr>
              <w:rPr>
                <w:rFonts w:ascii="Century Gothic" w:hAnsi="Century Gothic"/>
                <w:sz w:val="12"/>
                <w:szCs w:val="12"/>
              </w:rPr>
            </w:pPr>
            <w:hyperlink r:id="rId7" w:history="1">
              <w:r w:rsidRPr="00C30756">
                <w:rPr>
                  <w:color w:val="0000FF"/>
                  <w:u w:val="single"/>
                </w:rPr>
                <w:t>Core Maths lesson units for Key Stage 4 students - Oak National Academy (</w:t>
              </w:r>
              <w:proofErr w:type="spellStart"/>
              <w:proofErr w:type="gramStart"/>
              <w:r w:rsidRPr="00C30756">
                <w:rPr>
                  <w:color w:val="0000FF"/>
                  <w:u w:val="single"/>
                </w:rPr>
                <w:t>thenational.academy</w:t>
              </w:r>
              <w:proofErr w:type="spellEnd"/>
              <w:proofErr w:type="gramEnd"/>
              <w:r w:rsidRPr="00C30756">
                <w:rPr>
                  <w:color w:val="0000FF"/>
                  <w:u w:val="single"/>
                </w:rPr>
                <w:t>)</w:t>
              </w:r>
            </w:hyperlink>
          </w:p>
        </w:tc>
        <w:tc>
          <w:tcPr>
            <w:tcW w:w="2776" w:type="dxa"/>
          </w:tcPr>
          <w:p w:rsidR="00406EE4" w:rsidRPr="00406EE4" w:rsidRDefault="00406EE4" w:rsidP="0049675F">
            <w:pPr>
              <w:rPr>
                <w:rFonts w:ascii="Century Gothic" w:hAnsi="Century Gothic"/>
                <w:sz w:val="20"/>
                <w:szCs w:val="20"/>
              </w:rPr>
            </w:pPr>
          </w:p>
        </w:tc>
      </w:tr>
      <w:tr w:rsidR="00C8470A" w:rsidRPr="00CA38CD" w:rsidTr="0049675F">
        <w:tc>
          <w:tcPr>
            <w:tcW w:w="1554" w:type="dxa"/>
          </w:tcPr>
          <w:p w:rsidR="00C30756" w:rsidRPr="00C30756" w:rsidRDefault="00C30756" w:rsidP="00C30756">
            <w:pPr>
              <w:rPr>
                <w:rFonts w:ascii="Century Gothic" w:hAnsi="Century Gothic"/>
                <w:sz w:val="20"/>
                <w:szCs w:val="20"/>
              </w:rPr>
            </w:pPr>
            <w:r w:rsidRPr="00C30756">
              <w:rPr>
                <w:rFonts w:ascii="Century Gothic" w:hAnsi="Century Gothic"/>
                <w:sz w:val="20"/>
                <w:szCs w:val="20"/>
              </w:rPr>
              <w:t>Definitions and Terms</w:t>
            </w:r>
          </w:p>
          <w:p w:rsidR="00406EE4" w:rsidRPr="00406EE4" w:rsidRDefault="00406EE4" w:rsidP="0049675F">
            <w:pPr>
              <w:rPr>
                <w:rFonts w:ascii="Century Gothic" w:hAnsi="Century Gothic"/>
                <w:sz w:val="20"/>
                <w:szCs w:val="20"/>
              </w:rPr>
            </w:pPr>
          </w:p>
        </w:tc>
        <w:tc>
          <w:tcPr>
            <w:tcW w:w="9214" w:type="dxa"/>
          </w:tcPr>
          <w:p w:rsidR="00406EE4" w:rsidRPr="00406EE4" w:rsidRDefault="00C30756" w:rsidP="0049675F">
            <w:pPr>
              <w:rPr>
                <w:rFonts w:ascii="Century Gothic" w:hAnsi="Century Gothic"/>
                <w:sz w:val="20"/>
                <w:szCs w:val="20"/>
              </w:rPr>
            </w:pPr>
            <w:r>
              <w:rPr>
                <w:rFonts w:ascii="Arial" w:eastAsia="Times New Roman" w:hAnsi="Arial" w:cs="Arial"/>
                <w:sz w:val="20"/>
                <w:szCs w:val="20"/>
                <w:lang w:eastAsia="en-GB"/>
              </w:rPr>
              <w:t>Use the concepts and vocabulary of prime numbers, factors (divisors), multiples, common factors, common multiples, highest common factor, lowest common multiple, prime factorisation, including using product notation, and the unique factorisation theorem.</w:t>
            </w:r>
            <w:r>
              <w:rPr>
                <w:rFonts w:ascii="Arial" w:eastAsia="Times New Roman" w:hAnsi="Arial" w:cs="Arial"/>
                <w:sz w:val="20"/>
                <w:szCs w:val="20"/>
                <w:lang w:eastAsia="en-GB"/>
              </w:rPr>
              <w:br/>
              <w:t>Understand and use the terms odd, even, prime, factor (divisor), common multiple, square, cube, root. Understand and use place value.</w:t>
            </w:r>
          </w:p>
        </w:tc>
        <w:tc>
          <w:tcPr>
            <w:tcW w:w="2333" w:type="dxa"/>
          </w:tcPr>
          <w:p w:rsidR="00406EE4" w:rsidRPr="00E834C9" w:rsidRDefault="00C30756" w:rsidP="0049675F">
            <w:pPr>
              <w:rPr>
                <w:rFonts w:ascii="Century Gothic" w:hAnsi="Century Gothic"/>
                <w:sz w:val="12"/>
                <w:szCs w:val="12"/>
              </w:rPr>
            </w:pPr>
            <w:hyperlink r:id="rId8" w:history="1">
              <w:r w:rsidRPr="00C30756">
                <w:rPr>
                  <w:color w:val="0000FF"/>
                  <w:u w:val="single"/>
                </w:rPr>
                <w:t>Core Maths lesson units for Key Stage 4 students - Oak National Academy (</w:t>
              </w:r>
              <w:proofErr w:type="spellStart"/>
              <w:proofErr w:type="gramStart"/>
              <w:r w:rsidRPr="00C30756">
                <w:rPr>
                  <w:color w:val="0000FF"/>
                  <w:u w:val="single"/>
                </w:rPr>
                <w:t>thenational.academy</w:t>
              </w:r>
              <w:proofErr w:type="spellEnd"/>
              <w:proofErr w:type="gramEnd"/>
              <w:r w:rsidRPr="00C30756">
                <w:rPr>
                  <w:color w:val="0000FF"/>
                  <w:u w:val="single"/>
                </w:rPr>
                <w:t>)</w:t>
              </w:r>
            </w:hyperlink>
          </w:p>
        </w:tc>
        <w:tc>
          <w:tcPr>
            <w:tcW w:w="2776" w:type="dxa"/>
          </w:tcPr>
          <w:p w:rsidR="00406EE4" w:rsidRPr="00406EE4" w:rsidRDefault="00406EE4" w:rsidP="0049675F">
            <w:pPr>
              <w:rPr>
                <w:rFonts w:ascii="Century Gothic" w:hAnsi="Century Gothic"/>
                <w:sz w:val="20"/>
                <w:szCs w:val="20"/>
              </w:rPr>
            </w:pPr>
          </w:p>
        </w:tc>
      </w:tr>
      <w:tr w:rsidR="00C8470A" w:rsidRPr="00CA38CD" w:rsidTr="0049675F">
        <w:tc>
          <w:tcPr>
            <w:tcW w:w="1554" w:type="dxa"/>
          </w:tcPr>
          <w:p w:rsidR="00C30756" w:rsidRPr="00C30756" w:rsidRDefault="00C30756" w:rsidP="00C30756">
            <w:pPr>
              <w:rPr>
                <w:rFonts w:ascii="Century Gothic" w:hAnsi="Century Gothic"/>
                <w:sz w:val="20"/>
                <w:szCs w:val="20"/>
              </w:rPr>
            </w:pPr>
            <w:r w:rsidRPr="00C30756">
              <w:rPr>
                <w:rFonts w:ascii="Century Gothic" w:hAnsi="Century Gothic"/>
                <w:sz w:val="20"/>
                <w:szCs w:val="20"/>
              </w:rPr>
              <w:t>Prime Numbers</w:t>
            </w:r>
          </w:p>
          <w:p w:rsidR="00406EE4" w:rsidRPr="00406EE4" w:rsidRDefault="00406EE4" w:rsidP="0049675F">
            <w:pPr>
              <w:rPr>
                <w:rFonts w:ascii="Century Gothic" w:hAnsi="Century Gothic"/>
                <w:sz w:val="20"/>
                <w:szCs w:val="20"/>
              </w:rPr>
            </w:pPr>
          </w:p>
        </w:tc>
        <w:tc>
          <w:tcPr>
            <w:tcW w:w="9214" w:type="dxa"/>
          </w:tcPr>
          <w:p w:rsidR="00406EE4" w:rsidRPr="00406EE4" w:rsidRDefault="00C30756" w:rsidP="0049675F">
            <w:pPr>
              <w:rPr>
                <w:rFonts w:ascii="Century Gothic" w:hAnsi="Century Gothic"/>
                <w:sz w:val="20"/>
                <w:szCs w:val="20"/>
              </w:rPr>
            </w:pPr>
            <w:r>
              <w:rPr>
                <w:rFonts w:ascii="Arial" w:eastAsia="Times New Roman" w:hAnsi="Arial" w:cs="Arial"/>
                <w:color w:val="000000"/>
                <w:sz w:val="20"/>
                <w:szCs w:val="20"/>
                <w:lang w:eastAsia="en-GB"/>
              </w:rPr>
              <w:t>Identify prime numbers less than 20.</w:t>
            </w:r>
            <w:r>
              <w:rPr>
                <w:rFonts w:ascii="Arial" w:eastAsia="Times New Roman" w:hAnsi="Arial" w:cs="Arial"/>
                <w:color w:val="000000"/>
                <w:sz w:val="20"/>
                <w:szCs w:val="20"/>
                <w:lang w:eastAsia="en-GB"/>
              </w:rPr>
              <w:br/>
              <w:t>Express a whole number as a product of its prime factors.</w:t>
            </w:r>
            <w:r>
              <w:rPr>
                <w:rFonts w:ascii="Arial" w:eastAsia="Times New Roman" w:hAnsi="Arial" w:cs="Arial"/>
                <w:color w:val="000000"/>
                <w:sz w:val="20"/>
                <w:szCs w:val="20"/>
                <w:lang w:eastAsia="en-GB"/>
              </w:rPr>
              <w:br/>
            </w:r>
            <w:proofErr w:type="spellStart"/>
            <w:r>
              <w:rPr>
                <w:rFonts w:ascii="Arial" w:eastAsia="Times New Roman" w:hAnsi="Arial" w:cs="Arial"/>
                <w:color w:val="000000"/>
                <w:sz w:val="20"/>
                <w:szCs w:val="20"/>
                <w:lang w:eastAsia="en-GB"/>
              </w:rPr>
              <w:t>Eg.</w:t>
            </w:r>
            <w:proofErr w:type="spellEnd"/>
            <w:r>
              <w:rPr>
                <w:rFonts w:ascii="Arial" w:eastAsia="Times New Roman" w:hAnsi="Arial" w:cs="Arial"/>
                <w:color w:val="000000"/>
                <w:sz w:val="20"/>
                <w:szCs w:val="20"/>
                <w:lang w:eastAsia="en-GB"/>
              </w:rPr>
              <w:t xml:space="preserve"> 24=2x2x2x3</w:t>
            </w:r>
            <w:r>
              <w:rPr>
                <w:rFonts w:ascii="Arial" w:eastAsia="Times New Roman" w:hAnsi="Arial" w:cs="Arial"/>
                <w:color w:val="000000"/>
                <w:sz w:val="20"/>
                <w:szCs w:val="20"/>
                <w:lang w:eastAsia="en-GB"/>
              </w:rPr>
              <w:br/>
              <w:t>Understand that each number can be expressed as a product of prime factors in only one way.</w:t>
            </w:r>
          </w:p>
        </w:tc>
        <w:tc>
          <w:tcPr>
            <w:tcW w:w="2333" w:type="dxa"/>
          </w:tcPr>
          <w:p w:rsidR="00406EE4" w:rsidRPr="00E834C9" w:rsidRDefault="00C30756" w:rsidP="0049675F">
            <w:pPr>
              <w:rPr>
                <w:rFonts w:ascii="Century Gothic" w:hAnsi="Century Gothic"/>
                <w:sz w:val="12"/>
                <w:szCs w:val="12"/>
              </w:rPr>
            </w:pPr>
            <w:hyperlink r:id="rId9" w:history="1">
              <w:r w:rsidRPr="00C30756">
                <w:rPr>
                  <w:color w:val="0000FF"/>
                  <w:u w:val="single"/>
                </w:rPr>
                <w:t>Core Maths lesson units for Key Stage 4 students - Oak National Academy (</w:t>
              </w:r>
              <w:proofErr w:type="spellStart"/>
              <w:proofErr w:type="gramStart"/>
              <w:r w:rsidRPr="00C30756">
                <w:rPr>
                  <w:color w:val="0000FF"/>
                  <w:u w:val="single"/>
                </w:rPr>
                <w:t>thenational.academy</w:t>
              </w:r>
              <w:proofErr w:type="spellEnd"/>
              <w:proofErr w:type="gramEnd"/>
              <w:r w:rsidRPr="00C30756">
                <w:rPr>
                  <w:color w:val="0000FF"/>
                  <w:u w:val="single"/>
                </w:rPr>
                <w:t>)</w:t>
              </w:r>
            </w:hyperlink>
          </w:p>
        </w:tc>
        <w:tc>
          <w:tcPr>
            <w:tcW w:w="2776" w:type="dxa"/>
          </w:tcPr>
          <w:p w:rsidR="00406EE4" w:rsidRPr="00406EE4" w:rsidRDefault="00406EE4" w:rsidP="0049675F">
            <w:pPr>
              <w:rPr>
                <w:rFonts w:ascii="Century Gothic" w:hAnsi="Century Gothic"/>
                <w:sz w:val="20"/>
                <w:szCs w:val="20"/>
              </w:rPr>
            </w:pPr>
          </w:p>
        </w:tc>
      </w:tr>
      <w:tr w:rsidR="00C8470A" w:rsidRPr="00CA38CD" w:rsidTr="0049675F">
        <w:tc>
          <w:tcPr>
            <w:tcW w:w="1554" w:type="dxa"/>
          </w:tcPr>
          <w:p w:rsidR="00406EE4" w:rsidRPr="00406EE4" w:rsidRDefault="00C30756" w:rsidP="0049675F">
            <w:pPr>
              <w:rPr>
                <w:rFonts w:ascii="Century Gothic" w:hAnsi="Century Gothic"/>
                <w:sz w:val="20"/>
                <w:szCs w:val="20"/>
              </w:rPr>
            </w:pPr>
            <w:r w:rsidRPr="00C30756">
              <w:rPr>
                <w:rFonts w:ascii="Century Gothic" w:hAnsi="Century Gothic"/>
                <w:sz w:val="20"/>
                <w:szCs w:val="20"/>
              </w:rPr>
              <w:t>Highest Common Factor (HCF) and Lowest Common Multiple</w:t>
            </w:r>
          </w:p>
        </w:tc>
        <w:tc>
          <w:tcPr>
            <w:tcW w:w="9214" w:type="dxa"/>
          </w:tcPr>
          <w:p w:rsidR="00C8470A" w:rsidRPr="00C8470A" w:rsidRDefault="00C30756" w:rsidP="0049675F">
            <w:pPr>
              <w:rPr>
                <w:rFonts w:ascii="Century Gothic" w:hAnsi="Century Gothic" w:cs="Arial"/>
                <w:sz w:val="20"/>
                <w:szCs w:val="20"/>
                <w:shd w:val="clear" w:color="auto" w:fill="FFFFFF"/>
              </w:rPr>
            </w:pPr>
            <w:r>
              <w:rPr>
                <w:rFonts w:ascii="Arial" w:eastAsia="Times New Roman" w:hAnsi="Arial" w:cs="Arial"/>
                <w:color w:val="000000"/>
                <w:sz w:val="20"/>
                <w:szCs w:val="20"/>
                <w:lang w:eastAsia="en-GB"/>
              </w:rPr>
              <w:t>Find the HCF and LCM of two whole numbers by listing.</w:t>
            </w:r>
          </w:p>
        </w:tc>
        <w:tc>
          <w:tcPr>
            <w:tcW w:w="2333" w:type="dxa"/>
          </w:tcPr>
          <w:p w:rsidR="00C8470A" w:rsidRPr="00E834C9" w:rsidRDefault="00C30756" w:rsidP="0049675F">
            <w:pPr>
              <w:rPr>
                <w:rFonts w:ascii="Century Gothic" w:hAnsi="Century Gothic"/>
                <w:sz w:val="12"/>
                <w:szCs w:val="12"/>
              </w:rPr>
            </w:pPr>
            <w:hyperlink r:id="rId10" w:history="1">
              <w:r w:rsidRPr="00C30756">
                <w:rPr>
                  <w:color w:val="0000FF"/>
                  <w:u w:val="single"/>
                </w:rPr>
                <w:t>Core Maths lesson units for Key Stage 4 students - Oak National Academy (</w:t>
              </w:r>
              <w:proofErr w:type="spellStart"/>
              <w:proofErr w:type="gramStart"/>
              <w:r w:rsidRPr="00C30756">
                <w:rPr>
                  <w:color w:val="0000FF"/>
                  <w:u w:val="single"/>
                </w:rPr>
                <w:t>thenational.academy</w:t>
              </w:r>
              <w:proofErr w:type="spellEnd"/>
              <w:proofErr w:type="gramEnd"/>
              <w:r w:rsidRPr="00C30756">
                <w:rPr>
                  <w:color w:val="0000FF"/>
                  <w:u w:val="single"/>
                </w:rPr>
                <w:t>)</w:t>
              </w:r>
            </w:hyperlink>
          </w:p>
        </w:tc>
        <w:tc>
          <w:tcPr>
            <w:tcW w:w="2776" w:type="dxa"/>
          </w:tcPr>
          <w:p w:rsidR="00406EE4" w:rsidRPr="00406EE4" w:rsidRDefault="00406EE4" w:rsidP="0049675F">
            <w:pPr>
              <w:rPr>
                <w:rFonts w:ascii="Century Gothic" w:hAnsi="Century Gothic"/>
                <w:sz w:val="20"/>
                <w:szCs w:val="20"/>
              </w:rPr>
            </w:pPr>
          </w:p>
        </w:tc>
      </w:tr>
      <w:tr w:rsidR="00C8470A" w:rsidRPr="00CA38CD" w:rsidTr="0049675F">
        <w:tc>
          <w:tcPr>
            <w:tcW w:w="1554" w:type="dxa"/>
          </w:tcPr>
          <w:p w:rsidR="00406EE4" w:rsidRPr="00406EE4" w:rsidRDefault="00C30756" w:rsidP="0049675F">
            <w:pPr>
              <w:rPr>
                <w:rFonts w:ascii="Century Gothic" w:hAnsi="Century Gothic"/>
                <w:sz w:val="20"/>
                <w:szCs w:val="20"/>
              </w:rPr>
            </w:pPr>
            <w:r>
              <w:rPr>
                <w:rFonts w:ascii="Century Gothic" w:hAnsi="Century Gothic"/>
                <w:sz w:val="20"/>
                <w:szCs w:val="20"/>
              </w:rPr>
              <w:t>Square and cubes</w:t>
            </w:r>
          </w:p>
        </w:tc>
        <w:tc>
          <w:tcPr>
            <w:tcW w:w="9214" w:type="dxa"/>
          </w:tcPr>
          <w:p w:rsidR="00F62CC8" w:rsidRPr="00F62CC8" w:rsidRDefault="00C30756" w:rsidP="0049675F">
            <w:pPr>
              <w:rPr>
                <w:rFonts w:ascii="Century Gothic" w:hAnsi="Century Gothic" w:cs="Arial"/>
                <w:sz w:val="20"/>
                <w:szCs w:val="20"/>
                <w:shd w:val="clear" w:color="auto" w:fill="FFFFFF"/>
              </w:rPr>
            </w:pPr>
            <w:r>
              <w:rPr>
                <w:rFonts w:ascii="Arial" w:eastAsia="Times New Roman" w:hAnsi="Arial" w:cs="Arial"/>
                <w:color w:val="000000"/>
                <w:sz w:val="20"/>
                <w:szCs w:val="20"/>
                <w:lang w:eastAsia="en-GB"/>
              </w:rPr>
              <w:t>Find square numbers up to 15 x 15 and corresponding positive and negative square roots.</w:t>
            </w:r>
            <w:r>
              <w:rPr>
                <w:rFonts w:ascii="Arial" w:eastAsia="Times New Roman" w:hAnsi="Arial" w:cs="Arial"/>
                <w:color w:val="000000"/>
                <w:sz w:val="20"/>
                <w:szCs w:val="20"/>
                <w:lang w:eastAsia="en-GB"/>
              </w:rPr>
              <w:br/>
              <w:t>Recall the cubes of 1,2,3,4,</w:t>
            </w:r>
            <w:proofErr w:type="gramStart"/>
            <w:r>
              <w:rPr>
                <w:rFonts w:ascii="Arial" w:eastAsia="Times New Roman" w:hAnsi="Arial" w:cs="Arial"/>
                <w:color w:val="000000"/>
                <w:sz w:val="20"/>
                <w:szCs w:val="20"/>
                <w:lang w:eastAsia="en-GB"/>
              </w:rPr>
              <w:t>5  &amp;</w:t>
            </w:r>
            <w:proofErr w:type="gramEnd"/>
            <w:r>
              <w:rPr>
                <w:rFonts w:ascii="Arial" w:eastAsia="Times New Roman" w:hAnsi="Arial" w:cs="Arial"/>
                <w:color w:val="000000"/>
                <w:sz w:val="20"/>
                <w:szCs w:val="20"/>
                <w:lang w:eastAsia="en-GB"/>
              </w:rPr>
              <w:t xml:space="preserve"> 10.</w:t>
            </w:r>
            <w:r>
              <w:rPr>
                <w:rFonts w:ascii="Arial" w:eastAsia="Times New Roman" w:hAnsi="Arial" w:cs="Arial"/>
                <w:color w:val="000000"/>
                <w:sz w:val="20"/>
                <w:szCs w:val="20"/>
                <w:lang w:eastAsia="en-GB"/>
              </w:rPr>
              <w:br/>
              <w:t>Be able to use square, cube and power keys.</w:t>
            </w:r>
            <w:r>
              <w:rPr>
                <w:rFonts w:ascii="Arial" w:eastAsia="Times New Roman" w:hAnsi="Arial" w:cs="Arial"/>
                <w:color w:val="000000"/>
                <w:sz w:val="20"/>
                <w:szCs w:val="20"/>
                <w:lang w:eastAsia="en-GB"/>
              </w:rPr>
              <w:br/>
              <w:t>To be able to estimate square roots of numbers.</w:t>
            </w:r>
          </w:p>
        </w:tc>
        <w:tc>
          <w:tcPr>
            <w:tcW w:w="2333" w:type="dxa"/>
          </w:tcPr>
          <w:p w:rsidR="00F62CC8" w:rsidRPr="00E834C9" w:rsidRDefault="00C30756" w:rsidP="0049675F">
            <w:pPr>
              <w:rPr>
                <w:rFonts w:ascii="Century Gothic" w:hAnsi="Century Gothic"/>
                <w:sz w:val="12"/>
                <w:szCs w:val="12"/>
              </w:rPr>
            </w:pPr>
            <w:hyperlink r:id="rId11" w:history="1">
              <w:r w:rsidRPr="00C30756">
                <w:rPr>
                  <w:color w:val="0000FF"/>
                  <w:u w:val="single"/>
                </w:rPr>
                <w:t>Core Maths lesson units for Key Stage 4 students - Oak National Academy (</w:t>
              </w:r>
              <w:proofErr w:type="spellStart"/>
              <w:proofErr w:type="gramStart"/>
              <w:r w:rsidRPr="00C30756">
                <w:rPr>
                  <w:color w:val="0000FF"/>
                  <w:u w:val="single"/>
                </w:rPr>
                <w:t>thenational.academy</w:t>
              </w:r>
              <w:proofErr w:type="spellEnd"/>
              <w:proofErr w:type="gramEnd"/>
              <w:r w:rsidRPr="00C30756">
                <w:rPr>
                  <w:color w:val="0000FF"/>
                  <w:u w:val="single"/>
                </w:rPr>
                <w:t>)</w:t>
              </w:r>
            </w:hyperlink>
          </w:p>
        </w:tc>
        <w:tc>
          <w:tcPr>
            <w:tcW w:w="2776" w:type="dxa"/>
          </w:tcPr>
          <w:p w:rsidR="00406EE4" w:rsidRPr="00406EE4" w:rsidRDefault="00406EE4" w:rsidP="0049675F">
            <w:pPr>
              <w:rPr>
                <w:rFonts w:ascii="Century Gothic" w:hAnsi="Century Gothic"/>
                <w:sz w:val="20"/>
                <w:szCs w:val="20"/>
              </w:rPr>
            </w:pPr>
          </w:p>
        </w:tc>
      </w:tr>
      <w:tr w:rsidR="00F62CC8" w:rsidRPr="00CA38CD" w:rsidTr="0049675F">
        <w:tc>
          <w:tcPr>
            <w:tcW w:w="1554" w:type="dxa"/>
          </w:tcPr>
          <w:p w:rsidR="00F62CC8" w:rsidRDefault="00C30756" w:rsidP="0049675F">
            <w:pPr>
              <w:rPr>
                <w:rFonts w:ascii="Century Gothic" w:hAnsi="Century Gothic"/>
                <w:sz w:val="20"/>
                <w:szCs w:val="20"/>
              </w:rPr>
            </w:pPr>
            <w:r>
              <w:rPr>
                <w:rFonts w:ascii="Century Gothic" w:hAnsi="Century Gothic"/>
                <w:sz w:val="20"/>
                <w:szCs w:val="20"/>
              </w:rPr>
              <w:lastRenderedPageBreak/>
              <w:t xml:space="preserve">Index notation </w:t>
            </w:r>
          </w:p>
        </w:tc>
        <w:tc>
          <w:tcPr>
            <w:tcW w:w="9214" w:type="dxa"/>
          </w:tcPr>
          <w:p w:rsidR="00F62CC8" w:rsidRPr="00E834C9" w:rsidRDefault="00C30756" w:rsidP="0049675F">
            <w:pPr>
              <w:rPr>
                <w:rFonts w:ascii="Century Gothic" w:hAnsi="Century Gothic" w:cs="Arial"/>
                <w:sz w:val="20"/>
                <w:szCs w:val="20"/>
                <w:shd w:val="clear" w:color="auto" w:fill="FFFFFF"/>
              </w:rPr>
            </w:pPr>
            <w:r>
              <w:rPr>
                <w:rFonts w:ascii="Arial" w:eastAsia="Times New Roman" w:hAnsi="Arial" w:cs="Arial"/>
                <w:color w:val="000000"/>
                <w:sz w:val="20"/>
                <w:szCs w:val="20"/>
                <w:lang w:eastAsia="en-GB"/>
              </w:rPr>
              <w:t>Use positive integer indices to write, for example:</w:t>
            </w:r>
            <w:r>
              <w:rPr>
                <w:rFonts w:ascii="Arial" w:eastAsia="Times New Roman" w:hAnsi="Arial" w:cs="Arial"/>
                <w:color w:val="000000"/>
                <w:sz w:val="20"/>
                <w:szCs w:val="20"/>
                <w:lang w:eastAsia="en-GB"/>
              </w:rPr>
              <w:br/>
              <w:t>2x2x2=2³</w:t>
            </w:r>
          </w:p>
        </w:tc>
        <w:tc>
          <w:tcPr>
            <w:tcW w:w="2333" w:type="dxa"/>
          </w:tcPr>
          <w:p w:rsidR="00F62CC8" w:rsidRPr="00E834C9" w:rsidRDefault="00C30756" w:rsidP="0049675F">
            <w:pPr>
              <w:rPr>
                <w:rFonts w:ascii="Century Gothic" w:hAnsi="Century Gothic"/>
                <w:sz w:val="12"/>
                <w:szCs w:val="12"/>
              </w:rPr>
            </w:pPr>
            <w:hyperlink r:id="rId12" w:history="1">
              <w:r w:rsidRPr="00C30756">
                <w:rPr>
                  <w:color w:val="0000FF"/>
                  <w:u w:val="single"/>
                </w:rPr>
                <w:t>Core Maths lesson units for Key Stage 4 students - Oak National Academy (</w:t>
              </w:r>
              <w:proofErr w:type="spellStart"/>
              <w:proofErr w:type="gramStart"/>
              <w:r w:rsidRPr="00C30756">
                <w:rPr>
                  <w:color w:val="0000FF"/>
                  <w:u w:val="single"/>
                </w:rPr>
                <w:t>thenational.academy</w:t>
              </w:r>
              <w:proofErr w:type="spellEnd"/>
              <w:proofErr w:type="gramEnd"/>
              <w:r w:rsidRPr="00C30756">
                <w:rPr>
                  <w:color w:val="0000FF"/>
                  <w:u w:val="single"/>
                </w:rPr>
                <w:t>)</w:t>
              </w:r>
            </w:hyperlink>
          </w:p>
        </w:tc>
        <w:tc>
          <w:tcPr>
            <w:tcW w:w="2776" w:type="dxa"/>
          </w:tcPr>
          <w:p w:rsidR="00F62CC8" w:rsidRDefault="00F62CC8" w:rsidP="0049675F">
            <w:pPr>
              <w:rPr>
                <w:rFonts w:ascii="Century Gothic" w:hAnsi="Century Gothic"/>
                <w:sz w:val="20"/>
                <w:szCs w:val="20"/>
              </w:rPr>
            </w:pPr>
          </w:p>
        </w:tc>
      </w:tr>
      <w:tr w:rsidR="00F62CC8" w:rsidRPr="00CA38CD" w:rsidTr="0049675F">
        <w:tc>
          <w:tcPr>
            <w:tcW w:w="1554" w:type="dxa"/>
          </w:tcPr>
          <w:p w:rsidR="00F62CC8" w:rsidRDefault="00C30756" w:rsidP="0049675F">
            <w:pPr>
              <w:rPr>
                <w:rFonts w:ascii="Century Gothic" w:hAnsi="Century Gothic"/>
                <w:sz w:val="20"/>
                <w:szCs w:val="20"/>
              </w:rPr>
            </w:pPr>
            <w:r>
              <w:rPr>
                <w:rFonts w:ascii="Century Gothic" w:hAnsi="Century Gothic"/>
                <w:sz w:val="20"/>
                <w:szCs w:val="20"/>
              </w:rPr>
              <w:t>Laws of indices</w:t>
            </w:r>
          </w:p>
        </w:tc>
        <w:tc>
          <w:tcPr>
            <w:tcW w:w="9214" w:type="dxa"/>
          </w:tcPr>
          <w:p w:rsidR="00F62CC8" w:rsidRPr="000817B3" w:rsidRDefault="00C30756" w:rsidP="0049675F">
            <w:pPr>
              <w:rPr>
                <w:rFonts w:ascii="Century Gothic" w:hAnsi="Century Gothic" w:cs="Arial"/>
                <w:sz w:val="20"/>
                <w:szCs w:val="20"/>
                <w:shd w:val="clear" w:color="auto" w:fill="FFFFFF"/>
              </w:rPr>
            </w:pPr>
            <w:r>
              <w:rPr>
                <w:rFonts w:ascii="Arial" w:eastAsia="Times New Roman" w:hAnsi="Arial" w:cs="Arial"/>
                <w:color w:val="000000"/>
                <w:sz w:val="20"/>
                <w:szCs w:val="20"/>
                <w:lang w:eastAsia="en-GB"/>
              </w:rPr>
              <w:t>Simplifying algebraic products and quotients.</w:t>
            </w:r>
            <w:r>
              <w:rPr>
                <w:rFonts w:ascii="Arial" w:eastAsia="Times New Roman" w:hAnsi="Arial" w:cs="Arial"/>
                <w:color w:val="000000"/>
                <w:sz w:val="20"/>
                <w:szCs w:val="20"/>
                <w:lang w:eastAsia="en-GB"/>
              </w:rPr>
              <w:br/>
            </w:r>
            <w:r>
              <w:rPr>
                <w:rFonts w:ascii="Arial" w:eastAsia="Times New Roman" w:hAnsi="Arial" w:cs="Arial"/>
                <w:color w:val="000000"/>
                <w:sz w:val="20"/>
                <w:szCs w:val="20"/>
                <w:lang w:eastAsia="en-GB"/>
              </w:rPr>
              <w:br/>
            </w:r>
            <w:proofErr w:type="spellStart"/>
            <w:r>
              <w:rPr>
                <w:rFonts w:ascii="Arial" w:eastAsia="Times New Roman" w:hAnsi="Arial" w:cs="Arial"/>
                <w:color w:val="000000"/>
                <w:sz w:val="20"/>
                <w:szCs w:val="20"/>
                <w:lang w:eastAsia="en-GB"/>
              </w:rPr>
              <w:t>Eg.</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axaxa</w:t>
            </w:r>
            <w:proofErr w:type="spellEnd"/>
            <w:r>
              <w:rPr>
                <w:rFonts w:ascii="Arial" w:eastAsia="Times New Roman" w:hAnsi="Arial" w:cs="Arial"/>
                <w:color w:val="000000"/>
                <w:sz w:val="20"/>
                <w:szCs w:val="20"/>
                <w:lang w:eastAsia="en-GB"/>
              </w:rPr>
              <w:t xml:space="preserve"> = a³, 2ax3b = 6ab</w:t>
            </w:r>
            <w:r>
              <w:rPr>
                <w:rFonts w:ascii="Arial" w:eastAsia="Times New Roman" w:hAnsi="Arial" w:cs="Arial"/>
                <w:color w:val="000000"/>
                <w:sz w:val="20"/>
                <w:szCs w:val="20"/>
                <w:lang w:eastAsia="en-GB"/>
              </w:rPr>
              <w:br/>
            </w:r>
          </w:p>
        </w:tc>
        <w:tc>
          <w:tcPr>
            <w:tcW w:w="2333" w:type="dxa"/>
          </w:tcPr>
          <w:p w:rsidR="00F62CC8" w:rsidRDefault="00C30756" w:rsidP="0049675F">
            <w:pPr>
              <w:rPr>
                <w:rFonts w:ascii="Century Gothic" w:hAnsi="Century Gothic"/>
                <w:sz w:val="12"/>
                <w:szCs w:val="12"/>
              </w:rPr>
            </w:pPr>
            <w:hyperlink r:id="rId13" w:history="1">
              <w:r w:rsidRPr="00C30756">
                <w:rPr>
                  <w:color w:val="0000FF"/>
                  <w:u w:val="single"/>
                </w:rPr>
                <w:t>Core Maths lesson units for Key Stage 4 students - Oak National Academy (</w:t>
              </w:r>
              <w:proofErr w:type="spellStart"/>
              <w:proofErr w:type="gramStart"/>
              <w:r w:rsidRPr="00C30756">
                <w:rPr>
                  <w:color w:val="0000FF"/>
                  <w:u w:val="single"/>
                </w:rPr>
                <w:t>thenational.academy</w:t>
              </w:r>
              <w:proofErr w:type="spellEnd"/>
              <w:proofErr w:type="gramEnd"/>
              <w:r w:rsidRPr="00C30756">
                <w:rPr>
                  <w:color w:val="0000FF"/>
                  <w:u w:val="single"/>
                </w:rPr>
                <w:t>)</w:t>
              </w:r>
            </w:hyperlink>
            <w:bookmarkStart w:id="0" w:name="_GoBack"/>
            <w:bookmarkEnd w:id="0"/>
          </w:p>
        </w:tc>
        <w:tc>
          <w:tcPr>
            <w:tcW w:w="2776" w:type="dxa"/>
          </w:tcPr>
          <w:p w:rsidR="00F62CC8" w:rsidRDefault="00F62CC8" w:rsidP="0049675F">
            <w:pPr>
              <w:rPr>
                <w:rFonts w:ascii="Century Gothic" w:hAnsi="Century Gothic"/>
                <w:sz w:val="20"/>
                <w:szCs w:val="20"/>
              </w:rPr>
            </w:pPr>
          </w:p>
        </w:tc>
      </w:tr>
      <w:tr w:rsidR="00F62CC8" w:rsidRPr="00CA38CD" w:rsidTr="0049675F">
        <w:tc>
          <w:tcPr>
            <w:tcW w:w="1554" w:type="dxa"/>
          </w:tcPr>
          <w:p w:rsidR="00F62CC8" w:rsidRDefault="00F62CC8" w:rsidP="0049675F">
            <w:pPr>
              <w:rPr>
                <w:rFonts w:ascii="Century Gothic" w:hAnsi="Century Gothic"/>
                <w:sz w:val="20"/>
                <w:szCs w:val="20"/>
              </w:rPr>
            </w:pPr>
          </w:p>
        </w:tc>
        <w:tc>
          <w:tcPr>
            <w:tcW w:w="9214" w:type="dxa"/>
          </w:tcPr>
          <w:p w:rsidR="00F62CC8" w:rsidRPr="000817B3" w:rsidRDefault="00F62CC8" w:rsidP="0049675F">
            <w:pPr>
              <w:rPr>
                <w:rFonts w:ascii="Century Gothic" w:hAnsi="Century Gothic" w:cs="Arial"/>
                <w:sz w:val="20"/>
                <w:szCs w:val="20"/>
                <w:shd w:val="clear" w:color="auto" w:fill="FFFFFF"/>
              </w:rPr>
            </w:pPr>
          </w:p>
        </w:tc>
        <w:tc>
          <w:tcPr>
            <w:tcW w:w="2333" w:type="dxa"/>
          </w:tcPr>
          <w:p w:rsidR="00F62CC8" w:rsidRDefault="00F62CC8" w:rsidP="0049675F">
            <w:pPr>
              <w:rPr>
                <w:rFonts w:ascii="Century Gothic" w:hAnsi="Century Gothic"/>
                <w:sz w:val="12"/>
                <w:szCs w:val="12"/>
              </w:rPr>
            </w:pPr>
          </w:p>
        </w:tc>
        <w:tc>
          <w:tcPr>
            <w:tcW w:w="2776" w:type="dxa"/>
          </w:tcPr>
          <w:p w:rsidR="00F62CC8" w:rsidRDefault="00F62CC8" w:rsidP="0049675F">
            <w:pPr>
              <w:rPr>
                <w:rFonts w:ascii="Century Gothic" w:hAnsi="Century Gothic"/>
                <w:sz w:val="20"/>
                <w:szCs w:val="20"/>
              </w:rPr>
            </w:pPr>
          </w:p>
        </w:tc>
      </w:tr>
      <w:tr w:rsidR="00F62CC8" w:rsidRPr="00CA38CD" w:rsidTr="0049675F">
        <w:tc>
          <w:tcPr>
            <w:tcW w:w="1554" w:type="dxa"/>
          </w:tcPr>
          <w:p w:rsidR="00F62CC8" w:rsidRDefault="00F62CC8" w:rsidP="0049675F">
            <w:pPr>
              <w:rPr>
                <w:rFonts w:ascii="Century Gothic" w:hAnsi="Century Gothic"/>
                <w:sz w:val="20"/>
                <w:szCs w:val="20"/>
              </w:rPr>
            </w:pPr>
          </w:p>
        </w:tc>
        <w:tc>
          <w:tcPr>
            <w:tcW w:w="9214" w:type="dxa"/>
          </w:tcPr>
          <w:p w:rsidR="00F62CC8" w:rsidRPr="000817B3" w:rsidRDefault="00F62CC8" w:rsidP="0049675F">
            <w:pPr>
              <w:rPr>
                <w:rFonts w:ascii="Century Gothic" w:hAnsi="Century Gothic" w:cs="Arial"/>
                <w:sz w:val="20"/>
                <w:szCs w:val="20"/>
                <w:shd w:val="clear" w:color="auto" w:fill="FFFFFF"/>
              </w:rPr>
            </w:pPr>
          </w:p>
        </w:tc>
        <w:tc>
          <w:tcPr>
            <w:tcW w:w="2333" w:type="dxa"/>
          </w:tcPr>
          <w:p w:rsidR="00F62CC8" w:rsidRDefault="00F62CC8" w:rsidP="0049675F">
            <w:pPr>
              <w:rPr>
                <w:rFonts w:ascii="Century Gothic" w:hAnsi="Century Gothic"/>
                <w:sz w:val="12"/>
                <w:szCs w:val="12"/>
              </w:rPr>
            </w:pPr>
          </w:p>
        </w:tc>
        <w:tc>
          <w:tcPr>
            <w:tcW w:w="2776" w:type="dxa"/>
          </w:tcPr>
          <w:p w:rsidR="00F62CC8" w:rsidRDefault="00F62CC8" w:rsidP="0049675F">
            <w:pPr>
              <w:rPr>
                <w:rFonts w:ascii="Century Gothic" w:hAnsi="Century Gothic"/>
                <w:sz w:val="20"/>
                <w:szCs w:val="20"/>
              </w:rPr>
            </w:pPr>
          </w:p>
        </w:tc>
      </w:tr>
      <w:tr w:rsidR="00F62CC8" w:rsidRPr="00CA38CD" w:rsidTr="0049675F">
        <w:tc>
          <w:tcPr>
            <w:tcW w:w="1554" w:type="dxa"/>
          </w:tcPr>
          <w:p w:rsidR="00F62CC8" w:rsidRDefault="00F62CC8" w:rsidP="0049675F">
            <w:pPr>
              <w:rPr>
                <w:rFonts w:ascii="Century Gothic" w:hAnsi="Century Gothic"/>
                <w:sz w:val="20"/>
                <w:szCs w:val="20"/>
              </w:rPr>
            </w:pPr>
          </w:p>
        </w:tc>
        <w:tc>
          <w:tcPr>
            <w:tcW w:w="9214" w:type="dxa"/>
          </w:tcPr>
          <w:p w:rsidR="00F62CC8" w:rsidRPr="000817B3" w:rsidRDefault="00F62CC8" w:rsidP="0049675F">
            <w:pPr>
              <w:rPr>
                <w:rFonts w:ascii="Century Gothic" w:hAnsi="Century Gothic" w:cs="Arial"/>
                <w:sz w:val="20"/>
                <w:szCs w:val="20"/>
                <w:shd w:val="clear" w:color="auto" w:fill="FFFFFF"/>
              </w:rPr>
            </w:pPr>
          </w:p>
        </w:tc>
        <w:tc>
          <w:tcPr>
            <w:tcW w:w="2333" w:type="dxa"/>
          </w:tcPr>
          <w:p w:rsidR="00F62CC8" w:rsidRDefault="00F62CC8" w:rsidP="0049675F">
            <w:pPr>
              <w:rPr>
                <w:rFonts w:ascii="Century Gothic" w:hAnsi="Century Gothic"/>
                <w:sz w:val="12"/>
                <w:szCs w:val="12"/>
              </w:rPr>
            </w:pPr>
          </w:p>
        </w:tc>
        <w:tc>
          <w:tcPr>
            <w:tcW w:w="2776" w:type="dxa"/>
          </w:tcPr>
          <w:p w:rsidR="00F62CC8" w:rsidRDefault="00F62CC8" w:rsidP="0049675F">
            <w:pPr>
              <w:rPr>
                <w:rFonts w:ascii="Century Gothic" w:hAnsi="Century Gothic"/>
                <w:sz w:val="20"/>
                <w:szCs w:val="20"/>
              </w:rPr>
            </w:pPr>
          </w:p>
        </w:tc>
      </w:tr>
    </w:tbl>
    <w:p w:rsidR="00A96500" w:rsidRDefault="00A96500" w:rsidP="00EF59F2">
      <w:pPr>
        <w:rPr>
          <w:rFonts w:ascii="Century Gothic" w:hAnsi="Century Gothic"/>
          <w:b/>
          <w:sz w:val="36"/>
          <w:u w:val="single"/>
        </w:rPr>
      </w:pPr>
    </w:p>
    <w:p w:rsidR="0049675F" w:rsidRDefault="0049675F" w:rsidP="00EF59F2">
      <w:pPr>
        <w:rPr>
          <w:rFonts w:ascii="Century Gothic" w:hAnsi="Century Gothic"/>
          <w:b/>
          <w:sz w:val="36"/>
          <w:u w:val="single"/>
        </w:rPr>
      </w:pPr>
    </w:p>
    <w:p w:rsidR="0049675F" w:rsidRDefault="0049675F" w:rsidP="00EF59F2">
      <w:pPr>
        <w:rPr>
          <w:rFonts w:ascii="Century Gothic" w:hAnsi="Century Gothic"/>
          <w:b/>
          <w:sz w:val="36"/>
          <w:u w:val="single"/>
        </w:rPr>
      </w:pPr>
    </w:p>
    <w:p w:rsidR="00CA38CD" w:rsidRDefault="00CA38CD" w:rsidP="00CA38CD">
      <w:pPr>
        <w:jc w:val="center"/>
        <w:rPr>
          <w:rFonts w:ascii="Century Gothic" w:hAnsi="Century Gothic"/>
          <w:b/>
          <w:sz w:val="36"/>
          <w:u w:val="single"/>
        </w:rPr>
      </w:pPr>
    </w:p>
    <w:p w:rsidR="00CA38CD" w:rsidRPr="00CA38CD" w:rsidRDefault="00CA38CD" w:rsidP="00CA38CD">
      <w:pPr>
        <w:jc w:val="center"/>
        <w:rPr>
          <w:rFonts w:ascii="Century Gothic" w:hAnsi="Century Gothic"/>
          <w:b/>
          <w:sz w:val="36"/>
          <w:u w:val="single"/>
        </w:rPr>
      </w:pPr>
    </w:p>
    <w:p w:rsidR="00CA38CD" w:rsidRDefault="00CA38CD" w:rsidP="00CA38CD">
      <w:pPr>
        <w:jc w:val="center"/>
        <w:rPr>
          <w:rFonts w:ascii="Century Gothic" w:hAnsi="Century Gothic"/>
          <w:b/>
          <w:sz w:val="32"/>
          <w:u w:val="single"/>
        </w:rPr>
      </w:pPr>
    </w:p>
    <w:p w:rsidR="00CA38CD" w:rsidRPr="00CA38CD" w:rsidRDefault="00CA38CD" w:rsidP="00CA38CD">
      <w:pPr>
        <w:jc w:val="center"/>
        <w:rPr>
          <w:rFonts w:ascii="Century Gothic" w:hAnsi="Century Gothic"/>
          <w:b/>
          <w:u w:val="single"/>
        </w:rPr>
      </w:pPr>
    </w:p>
    <w:sectPr w:rsidR="00CA38CD" w:rsidRPr="00CA38CD" w:rsidSect="003725D7">
      <w:pgSz w:w="16838" w:h="11906" w:orient="landscape"/>
      <w:pgMar w:top="426" w:right="42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CB"/>
    <w:rsid w:val="000817B3"/>
    <w:rsid w:val="000C4E13"/>
    <w:rsid w:val="003725D7"/>
    <w:rsid w:val="003B025E"/>
    <w:rsid w:val="00406EE4"/>
    <w:rsid w:val="00460908"/>
    <w:rsid w:val="0049675F"/>
    <w:rsid w:val="005823D9"/>
    <w:rsid w:val="00692762"/>
    <w:rsid w:val="007054BE"/>
    <w:rsid w:val="007D16CB"/>
    <w:rsid w:val="007F4805"/>
    <w:rsid w:val="00834A75"/>
    <w:rsid w:val="00916506"/>
    <w:rsid w:val="009267E9"/>
    <w:rsid w:val="00971D93"/>
    <w:rsid w:val="00A410FB"/>
    <w:rsid w:val="00A96500"/>
    <w:rsid w:val="00BA23A2"/>
    <w:rsid w:val="00BB17A0"/>
    <w:rsid w:val="00C07066"/>
    <w:rsid w:val="00C30756"/>
    <w:rsid w:val="00C743F8"/>
    <w:rsid w:val="00C8470A"/>
    <w:rsid w:val="00CA38CD"/>
    <w:rsid w:val="00D35A12"/>
    <w:rsid w:val="00D817BF"/>
    <w:rsid w:val="00E834C9"/>
    <w:rsid w:val="00EA1532"/>
    <w:rsid w:val="00EF59F2"/>
    <w:rsid w:val="00F61D45"/>
    <w:rsid w:val="00F62CC8"/>
    <w:rsid w:val="00FE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ECA2"/>
  <w15:chartTrackingRefBased/>
  <w15:docId w15:val="{45215154-AC63-40D2-B35B-3FF16063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3D9"/>
    <w:rPr>
      <w:color w:val="0563C1" w:themeColor="hyperlink"/>
      <w:u w:val="single"/>
    </w:rPr>
  </w:style>
  <w:style w:type="paragraph" w:styleId="BalloonText">
    <w:name w:val="Balloon Text"/>
    <w:basedOn w:val="Normal"/>
    <w:link w:val="BalloonTextChar"/>
    <w:uiPriority w:val="99"/>
    <w:semiHidden/>
    <w:unhideWhenUsed/>
    <w:rsid w:val="00FE7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43754">
      <w:bodyDiv w:val="1"/>
      <w:marLeft w:val="0"/>
      <w:marRight w:val="0"/>
      <w:marTop w:val="0"/>
      <w:marBottom w:val="0"/>
      <w:divBdr>
        <w:top w:val="none" w:sz="0" w:space="0" w:color="auto"/>
        <w:left w:val="none" w:sz="0" w:space="0" w:color="auto"/>
        <w:bottom w:val="none" w:sz="0" w:space="0" w:color="auto"/>
        <w:right w:val="none" w:sz="0" w:space="0" w:color="auto"/>
      </w:divBdr>
    </w:div>
    <w:div w:id="531306311">
      <w:bodyDiv w:val="1"/>
      <w:marLeft w:val="0"/>
      <w:marRight w:val="0"/>
      <w:marTop w:val="0"/>
      <w:marBottom w:val="0"/>
      <w:divBdr>
        <w:top w:val="none" w:sz="0" w:space="0" w:color="auto"/>
        <w:left w:val="none" w:sz="0" w:space="0" w:color="auto"/>
        <w:bottom w:val="none" w:sz="0" w:space="0" w:color="auto"/>
        <w:right w:val="none" w:sz="0" w:space="0" w:color="auto"/>
      </w:divBdr>
    </w:div>
    <w:div w:id="941839994">
      <w:bodyDiv w:val="1"/>
      <w:marLeft w:val="0"/>
      <w:marRight w:val="0"/>
      <w:marTop w:val="0"/>
      <w:marBottom w:val="0"/>
      <w:divBdr>
        <w:top w:val="none" w:sz="0" w:space="0" w:color="auto"/>
        <w:left w:val="none" w:sz="0" w:space="0" w:color="auto"/>
        <w:bottom w:val="none" w:sz="0" w:space="0" w:color="auto"/>
        <w:right w:val="none" w:sz="0" w:space="0" w:color="auto"/>
      </w:divBdr>
    </w:div>
    <w:div w:id="149895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subjects-by-key-stage/key-stage-4/subjects/maths/tiers/core" TargetMode="External"/><Relationship Id="rId13" Type="http://schemas.openxmlformats.org/officeDocument/2006/relationships/hyperlink" Target="https://classroom.thenational.academy/subjects-by-key-stage/key-stage-4/subjects/maths/tiers/core" TargetMode="External"/><Relationship Id="rId3" Type="http://schemas.openxmlformats.org/officeDocument/2006/relationships/settings" Target="settings.xml"/><Relationship Id="rId7" Type="http://schemas.openxmlformats.org/officeDocument/2006/relationships/hyperlink" Target="https://classroom.thenational.academy/subjects-by-key-stage/key-stage-4/subjects/maths/tiers/core" TargetMode="External"/><Relationship Id="rId12" Type="http://schemas.openxmlformats.org/officeDocument/2006/relationships/hyperlink" Target="https://classroom.thenational.academy/subjects-by-key-stage/key-stage-4/subjects/maths/tiers/co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lassroom.thenational.academy/subjects-by-key-stage/key-stage-4/subjects/maths/tiers/core" TargetMode="External"/><Relationship Id="rId11" Type="http://schemas.openxmlformats.org/officeDocument/2006/relationships/hyperlink" Target="https://classroom.thenational.academy/subjects-by-key-stage/key-stage-4/subjects/maths/tiers/cor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classroom.thenational.academy/subjects-by-key-stage/key-stage-4/subjects/maths/tiers/core" TargetMode="External"/><Relationship Id="rId4" Type="http://schemas.openxmlformats.org/officeDocument/2006/relationships/webSettings" Target="webSettings.xml"/><Relationship Id="rId9" Type="http://schemas.openxmlformats.org/officeDocument/2006/relationships/hyperlink" Target="https://classroom.thenational.academy/subjects-by-key-stage/key-stage-4/subjects/maths/tiers/cor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aching%20Staff\Curriculum%20Summaries\Curriculum%20Summary%20NEW%20(Sept%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CE9EB-DA05-4682-B94B-5E2FEF68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Summary NEW (Sept 2021)</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Amy Willis</dc:creator>
  <cp:keywords/>
  <dc:description/>
  <cp:lastModifiedBy>A Willis</cp:lastModifiedBy>
  <cp:revision>2</cp:revision>
  <cp:lastPrinted>2020-10-20T08:21:00Z</cp:lastPrinted>
  <dcterms:created xsi:type="dcterms:W3CDTF">2021-09-29T12:04:00Z</dcterms:created>
  <dcterms:modified xsi:type="dcterms:W3CDTF">2021-09-29T12:04:00Z</dcterms:modified>
</cp:coreProperties>
</file>